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1C1D0" w14:textId="77777777" w:rsidR="00D32C4C" w:rsidRDefault="006147D4">
      <w:pPr>
        <w:pStyle w:val="Title"/>
        <w:spacing w:line="415" w:lineRule="auto"/>
      </w:pPr>
      <w:bookmarkStart w:id="0" w:name="_GoBack"/>
      <w:bookmarkEnd w:id="0"/>
      <w:r>
        <w:t>Allegany County Public Schools Annual Notification of Rights under FERPA</w:t>
      </w:r>
    </w:p>
    <w:p w14:paraId="32F53463" w14:textId="77777777" w:rsidR="00D32C4C" w:rsidRDefault="006147D4">
      <w:pPr>
        <w:pStyle w:val="BodyText"/>
        <w:spacing w:line="218" w:lineRule="exact"/>
        <w:ind w:left="100" w:firstLine="0"/>
      </w:pPr>
      <w:r>
        <w:rPr>
          <w:color w:val="030912"/>
        </w:rPr>
        <w:t>The Family Educational Rights and Privacy Act (FERPA) (20 U.S.C. § 1232g; 34 CFR Part 99) is a Federal law that</w:t>
      </w:r>
    </w:p>
    <w:p w14:paraId="03E77C0E" w14:textId="77777777" w:rsidR="00D32C4C" w:rsidRDefault="006147D4">
      <w:pPr>
        <w:pStyle w:val="BodyText"/>
        <w:spacing w:before="1"/>
        <w:ind w:left="100" w:right="662" w:firstLine="0"/>
      </w:pPr>
      <w:proofErr w:type="gramStart"/>
      <w:r>
        <w:rPr>
          <w:color w:val="030912"/>
        </w:rPr>
        <w:t>protects</w:t>
      </w:r>
      <w:proofErr w:type="gramEnd"/>
      <w:r>
        <w:rPr>
          <w:color w:val="030912"/>
        </w:rPr>
        <w:t xml:space="preserve"> the privacy of student education records. The law applies to all schools that receive funds under an applicable program of the U.S. Department of Education.</w:t>
      </w:r>
    </w:p>
    <w:p w14:paraId="628EE081" w14:textId="77777777" w:rsidR="00D32C4C" w:rsidRDefault="006147D4">
      <w:pPr>
        <w:pStyle w:val="BodyText"/>
        <w:spacing w:before="150"/>
        <w:ind w:left="100" w:firstLine="0"/>
      </w:pPr>
      <w:r>
        <w:rPr>
          <w:color w:val="030912"/>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14:paraId="1E479047" w14:textId="77777777" w:rsidR="00D32C4C" w:rsidRDefault="006147D4">
      <w:pPr>
        <w:pStyle w:val="ListParagraph"/>
        <w:numPr>
          <w:ilvl w:val="0"/>
          <w:numId w:val="1"/>
        </w:numPr>
        <w:tabs>
          <w:tab w:val="left" w:pos="820"/>
          <w:tab w:val="left" w:pos="821"/>
        </w:tabs>
        <w:spacing w:before="149"/>
        <w:ind w:right="278"/>
        <w:rPr>
          <w:sz w:val="20"/>
        </w:rPr>
      </w:pPr>
      <w:r>
        <w:rPr>
          <w:color w:val="030912"/>
          <w:sz w:val="20"/>
        </w:rPr>
        <w:t>Parents or eligible students have the right to inspect and review the student's education records maintained</w:t>
      </w:r>
      <w:r>
        <w:rPr>
          <w:color w:val="030912"/>
          <w:spacing w:val="-3"/>
          <w:sz w:val="20"/>
        </w:rPr>
        <w:t xml:space="preserve"> </w:t>
      </w:r>
      <w:r>
        <w:rPr>
          <w:color w:val="030912"/>
          <w:sz w:val="20"/>
        </w:rPr>
        <w:t>by</w:t>
      </w:r>
      <w:r>
        <w:rPr>
          <w:color w:val="030912"/>
          <w:spacing w:val="-2"/>
          <w:sz w:val="20"/>
        </w:rPr>
        <w:t xml:space="preserve"> </w:t>
      </w:r>
      <w:r>
        <w:rPr>
          <w:color w:val="030912"/>
          <w:sz w:val="20"/>
        </w:rPr>
        <w:t>the</w:t>
      </w:r>
      <w:r>
        <w:rPr>
          <w:color w:val="030912"/>
          <w:spacing w:val="-4"/>
          <w:sz w:val="20"/>
        </w:rPr>
        <w:t xml:space="preserve"> </w:t>
      </w:r>
      <w:r>
        <w:rPr>
          <w:color w:val="030912"/>
          <w:sz w:val="20"/>
        </w:rPr>
        <w:t>school. Schools</w:t>
      </w:r>
      <w:r>
        <w:rPr>
          <w:color w:val="030912"/>
          <w:spacing w:val="-2"/>
          <w:sz w:val="20"/>
        </w:rPr>
        <w:t xml:space="preserve"> </w:t>
      </w:r>
      <w:r>
        <w:rPr>
          <w:color w:val="030912"/>
          <w:sz w:val="20"/>
        </w:rPr>
        <w:t>are</w:t>
      </w:r>
      <w:r>
        <w:rPr>
          <w:color w:val="030912"/>
          <w:spacing w:val="-4"/>
          <w:sz w:val="20"/>
        </w:rPr>
        <w:t xml:space="preserve"> </w:t>
      </w:r>
      <w:r>
        <w:rPr>
          <w:color w:val="030912"/>
          <w:sz w:val="20"/>
        </w:rPr>
        <w:t>not</w:t>
      </w:r>
      <w:r>
        <w:rPr>
          <w:color w:val="030912"/>
          <w:spacing w:val="-2"/>
          <w:sz w:val="20"/>
        </w:rPr>
        <w:t xml:space="preserve"> </w:t>
      </w:r>
      <w:r>
        <w:rPr>
          <w:color w:val="030912"/>
          <w:sz w:val="20"/>
        </w:rPr>
        <w:t>required</w:t>
      </w:r>
      <w:r>
        <w:rPr>
          <w:color w:val="030912"/>
          <w:spacing w:val="-2"/>
          <w:sz w:val="20"/>
        </w:rPr>
        <w:t xml:space="preserve"> </w:t>
      </w:r>
      <w:r>
        <w:rPr>
          <w:color w:val="030912"/>
          <w:sz w:val="20"/>
        </w:rPr>
        <w:t>to</w:t>
      </w:r>
      <w:r>
        <w:rPr>
          <w:color w:val="030912"/>
          <w:spacing w:val="-3"/>
          <w:sz w:val="20"/>
        </w:rPr>
        <w:t xml:space="preserve"> </w:t>
      </w:r>
      <w:r>
        <w:rPr>
          <w:color w:val="030912"/>
          <w:sz w:val="20"/>
        </w:rPr>
        <w:t>provide</w:t>
      </w:r>
      <w:r>
        <w:rPr>
          <w:color w:val="030912"/>
          <w:spacing w:val="-3"/>
          <w:sz w:val="20"/>
        </w:rPr>
        <w:t xml:space="preserve"> </w:t>
      </w:r>
      <w:r>
        <w:rPr>
          <w:color w:val="030912"/>
          <w:sz w:val="20"/>
        </w:rPr>
        <w:t>copies</w:t>
      </w:r>
      <w:r>
        <w:rPr>
          <w:color w:val="030912"/>
          <w:spacing w:val="-2"/>
          <w:sz w:val="20"/>
        </w:rPr>
        <w:t xml:space="preserve"> </w:t>
      </w:r>
      <w:r>
        <w:rPr>
          <w:color w:val="030912"/>
          <w:sz w:val="20"/>
        </w:rPr>
        <w:t>of</w:t>
      </w:r>
      <w:r>
        <w:rPr>
          <w:color w:val="030912"/>
          <w:spacing w:val="-5"/>
          <w:sz w:val="20"/>
        </w:rPr>
        <w:t xml:space="preserve"> </w:t>
      </w:r>
      <w:r>
        <w:rPr>
          <w:color w:val="030912"/>
          <w:sz w:val="20"/>
        </w:rPr>
        <w:t>records</w:t>
      </w:r>
      <w:r>
        <w:rPr>
          <w:color w:val="030912"/>
          <w:spacing w:val="-2"/>
          <w:sz w:val="20"/>
        </w:rPr>
        <w:t xml:space="preserve"> </w:t>
      </w:r>
      <w:r>
        <w:rPr>
          <w:color w:val="030912"/>
          <w:sz w:val="20"/>
        </w:rPr>
        <w:t>unless,</w:t>
      </w:r>
      <w:r>
        <w:rPr>
          <w:color w:val="030912"/>
          <w:spacing w:val="-2"/>
          <w:sz w:val="20"/>
        </w:rPr>
        <w:t xml:space="preserve"> </w:t>
      </w:r>
      <w:r>
        <w:rPr>
          <w:color w:val="030912"/>
          <w:sz w:val="20"/>
        </w:rPr>
        <w:t>for</w:t>
      </w:r>
      <w:r>
        <w:rPr>
          <w:color w:val="030912"/>
          <w:spacing w:val="-3"/>
          <w:sz w:val="20"/>
        </w:rPr>
        <w:t xml:space="preserve"> </w:t>
      </w:r>
      <w:r>
        <w:rPr>
          <w:color w:val="030912"/>
          <w:sz w:val="20"/>
        </w:rPr>
        <w:t>reasons</w:t>
      </w:r>
      <w:r>
        <w:rPr>
          <w:color w:val="030912"/>
          <w:spacing w:val="-2"/>
          <w:sz w:val="20"/>
        </w:rPr>
        <w:t xml:space="preserve"> </w:t>
      </w:r>
      <w:r>
        <w:rPr>
          <w:color w:val="030912"/>
          <w:sz w:val="20"/>
        </w:rPr>
        <w:t>such as great distance, it is impossible for parents or eligible students to review the records. Schools may charge a fee for</w:t>
      </w:r>
      <w:r>
        <w:rPr>
          <w:color w:val="030912"/>
          <w:spacing w:val="-4"/>
          <w:sz w:val="20"/>
        </w:rPr>
        <w:t xml:space="preserve"> </w:t>
      </w:r>
      <w:r>
        <w:rPr>
          <w:color w:val="030912"/>
          <w:sz w:val="20"/>
        </w:rPr>
        <w:t>copies.</w:t>
      </w:r>
    </w:p>
    <w:p w14:paraId="3A76BE59" w14:textId="77777777" w:rsidR="00D32C4C" w:rsidRDefault="006147D4">
      <w:pPr>
        <w:pStyle w:val="ListParagraph"/>
        <w:numPr>
          <w:ilvl w:val="0"/>
          <w:numId w:val="1"/>
        </w:numPr>
        <w:tabs>
          <w:tab w:val="left" w:pos="820"/>
          <w:tab w:val="left" w:pos="821"/>
        </w:tabs>
        <w:spacing w:before="151"/>
        <w:ind w:right="206"/>
        <w:rPr>
          <w:sz w:val="20"/>
        </w:rPr>
      </w:pPr>
      <w:r>
        <w:rPr>
          <w:color w:val="030912"/>
          <w:sz w:val="20"/>
        </w:rPr>
        <w:t>Parents or eligible students have the right to request that a school correct records which they believe to be</w:t>
      </w:r>
      <w:r>
        <w:rPr>
          <w:color w:val="030912"/>
          <w:spacing w:val="-3"/>
          <w:sz w:val="20"/>
        </w:rPr>
        <w:t xml:space="preserve"> </w:t>
      </w:r>
      <w:r>
        <w:rPr>
          <w:color w:val="030912"/>
          <w:sz w:val="20"/>
        </w:rPr>
        <w:t>inaccurate</w:t>
      </w:r>
      <w:r>
        <w:rPr>
          <w:color w:val="030912"/>
          <w:spacing w:val="-3"/>
          <w:sz w:val="20"/>
        </w:rPr>
        <w:t xml:space="preserve"> </w:t>
      </w:r>
      <w:r>
        <w:rPr>
          <w:color w:val="030912"/>
          <w:sz w:val="20"/>
        </w:rPr>
        <w:t>or</w:t>
      </w:r>
      <w:r>
        <w:rPr>
          <w:color w:val="030912"/>
          <w:spacing w:val="-2"/>
          <w:sz w:val="20"/>
        </w:rPr>
        <w:t xml:space="preserve"> </w:t>
      </w:r>
      <w:r>
        <w:rPr>
          <w:color w:val="030912"/>
          <w:sz w:val="20"/>
        </w:rPr>
        <w:t>misleading.</w:t>
      </w:r>
      <w:r>
        <w:rPr>
          <w:color w:val="030912"/>
          <w:spacing w:val="-3"/>
          <w:sz w:val="20"/>
        </w:rPr>
        <w:t xml:space="preserve"> </w:t>
      </w:r>
      <w:r>
        <w:rPr>
          <w:color w:val="030912"/>
          <w:sz w:val="20"/>
        </w:rPr>
        <w:t>If</w:t>
      </w:r>
      <w:r>
        <w:rPr>
          <w:color w:val="030912"/>
          <w:spacing w:val="-1"/>
          <w:sz w:val="20"/>
        </w:rPr>
        <w:t xml:space="preserve"> </w:t>
      </w:r>
      <w:r>
        <w:rPr>
          <w:color w:val="030912"/>
          <w:sz w:val="20"/>
        </w:rPr>
        <w:t>the</w:t>
      </w:r>
      <w:r>
        <w:rPr>
          <w:color w:val="030912"/>
          <w:spacing w:val="-3"/>
          <w:sz w:val="20"/>
        </w:rPr>
        <w:t xml:space="preserve"> </w:t>
      </w:r>
      <w:r>
        <w:rPr>
          <w:color w:val="030912"/>
          <w:sz w:val="20"/>
        </w:rPr>
        <w:t>school</w:t>
      </w:r>
      <w:r>
        <w:rPr>
          <w:color w:val="030912"/>
          <w:spacing w:val="-2"/>
          <w:sz w:val="20"/>
        </w:rPr>
        <w:t xml:space="preserve"> </w:t>
      </w:r>
      <w:r>
        <w:rPr>
          <w:color w:val="030912"/>
          <w:sz w:val="20"/>
        </w:rPr>
        <w:t>decides</w:t>
      </w:r>
      <w:r>
        <w:rPr>
          <w:color w:val="030912"/>
          <w:spacing w:val="-1"/>
          <w:sz w:val="20"/>
        </w:rPr>
        <w:t xml:space="preserve"> </w:t>
      </w:r>
      <w:r>
        <w:rPr>
          <w:color w:val="030912"/>
          <w:sz w:val="20"/>
        </w:rPr>
        <w:t>not</w:t>
      </w:r>
      <w:r>
        <w:rPr>
          <w:color w:val="030912"/>
          <w:spacing w:val="-2"/>
          <w:sz w:val="20"/>
        </w:rPr>
        <w:t xml:space="preserve"> </w:t>
      </w:r>
      <w:r>
        <w:rPr>
          <w:color w:val="030912"/>
          <w:sz w:val="20"/>
        </w:rPr>
        <w:t>to</w:t>
      </w:r>
      <w:r>
        <w:rPr>
          <w:color w:val="030912"/>
          <w:spacing w:val="-2"/>
          <w:sz w:val="20"/>
        </w:rPr>
        <w:t xml:space="preserve"> </w:t>
      </w:r>
      <w:r>
        <w:rPr>
          <w:color w:val="030912"/>
          <w:sz w:val="20"/>
        </w:rPr>
        <w:t>amend</w:t>
      </w:r>
      <w:r>
        <w:rPr>
          <w:color w:val="030912"/>
          <w:spacing w:val="-2"/>
          <w:sz w:val="20"/>
        </w:rPr>
        <w:t xml:space="preserve"> </w:t>
      </w:r>
      <w:r>
        <w:rPr>
          <w:color w:val="030912"/>
          <w:sz w:val="20"/>
        </w:rPr>
        <w:t>the</w:t>
      </w:r>
      <w:r>
        <w:rPr>
          <w:color w:val="030912"/>
          <w:spacing w:val="-3"/>
          <w:sz w:val="20"/>
        </w:rPr>
        <w:t xml:space="preserve"> </w:t>
      </w:r>
      <w:r>
        <w:rPr>
          <w:color w:val="030912"/>
          <w:sz w:val="20"/>
        </w:rPr>
        <w:t>record,</w:t>
      </w:r>
      <w:r>
        <w:rPr>
          <w:color w:val="030912"/>
          <w:spacing w:val="-2"/>
          <w:sz w:val="20"/>
        </w:rPr>
        <w:t xml:space="preserve"> </w:t>
      </w:r>
      <w:r>
        <w:rPr>
          <w:color w:val="030912"/>
          <w:sz w:val="20"/>
        </w:rPr>
        <w:t>the</w:t>
      </w:r>
      <w:r>
        <w:rPr>
          <w:color w:val="030912"/>
          <w:spacing w:val="-3"/>
          <w:sz w:val="20"/>
        </w:rPr>
        <w:t xml:space="preserve"> </w:t>
      </w:r>
      <w:r>
        <w:rPr>
          <w:color w:val="030912"/>
          <w:sz w:val="20"/>
        </w:rPr>
        <w:t>parent</w:t>
      </w:r>
      <w:r>
        <w:rPr>
          <w:color w:val="030912"/>
          <w:spacing w:val="-1"/>
          <w:sz w:val="20"/>
        </w:rPr>
        <w:t xml:space="preserve"> </w:t>
      </w:r>
      <w:r>
        <w:rPr>
          <w:color w:val="030912"/>
          <w:sz w:val="20"/>
        </w:rPr>
        <w:t>or</w:t>
      </w:r>
      <w:r>
        <w:rPr>
          <w:color w:val="030912"/>
          <w:spacing w:val="-2"/>
          <w:sz w:val="20"/>
        </w:rPr>
        <w:t xml:space="preserve"> </w:t>
      </w:r>
      <w:r>
        <w:rPr>
          <w:color w:val="030912"/>
          <w:sz w:val="20"/>
        </w:rPr>
        <w:t>eligible</w:t>
      </w:r>
      <w:r>
        <w:rPr>
          <w:color w:val="030912"/>
          <w:spacing w:val="-4"/>
          <w:sz w:val="20"/>
        </w:rPr>
        <w:t xml:space="preserve"> </w:t>
      </w:r>
      <w:r>
        <w:rPr>
          <w:color w:val="030912"/>
          <w:sz w:val="20"/>
        </w:rPr>
        <w:t>student then has the right to a formal hearing. After the hearing, if the school still decides not to amend the record, the parent or eligible student has the right to place a statement with the record setting forth his or her view about the contested</w:t>
      </w:r>
      <w:r>
        <w:rPr>
          <w:color w:val="030912"/>
          <w:spacing w:val="-3"/>
          <w:sz w:val="20"/>
        </w:rPr>
        <w:t xml:space="preserve"> </w:t>
      </w:r>
      <w:r>
        <w:rPr>
          <w:color w:val="030912"/>
          <w:sz w:val="20"/>
        </w:rPr>
        <w:t>information.</w:t>
      </w:r>
    </w:p>
    <w:p w14:paraId="78712BE7" w14:textId="77777777" w:rsidR="00D32C4C" w:rsidRDefault="006147D4">
      <w:pPr>
        <w:pStyle w:val="ListParagraph"/>
        <w:numPr>
          <w:ilvl w:val="0"/>
          <w:numId w:val="1"/>
        </w:numPr>
        <w:tabs>
          <w:tab w:val="left" w:pos="820"/>
          <w:tab w:val="left" w:pos="821"/>
        </w:tabs>
        <w:spacing w:before="149"/>
        <w:ind w:right="364"/>
        <w:rPr>
          <w:sz w:val="20"/>
        </w:rPr>
      </w:pPr>
      <w:r>
        <w:rPr>
          <w:color w:val="030912"/>
          <w:sz w:val="20"/>
        </w:rPr>
        <w:t>Generally,</w:t>
      </w:r>
      <w:r>
        <w:rPr>
          <w:color w:val="030912"/>
          <w:spacing w:val="-2"/>
          <w:sz w:val="20"/>
        </w:rPr>
        <w:t xml:space="preserve"> </w:t>
      </w:r>
      <w:r>
        <w:rPr>
          <w:color w:val="030912"/>
          <w:sz w:val="20"/>
        </w:rPr>
        <w:t>schools</w:t>
      </w:r>
      <w:r>
        <w:rPr>
          <w:color w:val="030912"/>
          <w:spacing w:val="-2"/>
          <w:sz w:val="20"/>
        </w:rPr>
        <w:t xml:space="preserve"> </w:t>
      </w:r>
      <w:r>
        <w:rPr>
          <w:color w:val="030912"/>
          <w:sz w:val="20"/>
        </w:rPr>
        <w:t>must</w:t>
      </w:r>
      <w:r>
        <w:rPr>
          <w:color w:val="030912"/>
          <w:spacing w:val="-4"/>
          <w:sz w:val="20"/>
        </w:rPr>
        <w:t xml:space="preserve"> </w:t>
      </w:r>
      <w:r>
        <w:rPr>
          <w:color w:val="030912"/>
          <w:sz w:val="20"/>
        </w:rPr>
        <w:t>have</w:t>
      </w:r>
      <w:r>
        <w:rPr>
          <w:color w:val="030912"/>
          <w:spacing w:val="-4"/>
          <w:sz w:val="20"/>
        </w:rPr>
        <w:t xml:space="preserve"> </w:t>
      </w:r>
      <w:r>
        <w:rPr>
          <w:color w:val="030912"/>
          <w:sz w:val="20"/>
        </w:rPr>
        <w:t>written</w:t>
      </w:r>
      <w:r>
        <w:rPr>
          <w:color w:val="030912"/>
          <w:spacing w:val="-2"/>
          <w:sz w:val="20"/>
        </w:rPr>
        <w:t xml:space="preserve"> </w:t>
      </w:r>
      <w:r>
        <w:rPr>
          <w:color w:val="030912"/>
          <w:sz w:val="20"/>
        </w:rPr>
        <w:t>permission</w:t>
      </w:r>
      <w:r>
        <w:rPr>
          <w:color w:val="030912"/>
          <w:spacing w:val="-1"/>
          <w:sz w:val="20"/>
        </w:rPr>
        <w:t xml:space="preserve"> </w:t>
      </w:r>
      <w:r>
        <w:rPr>
          <w:color w:val="030912"/>
          <w:sz w:val="20"/>
        </w:rPr>
        <w:t>from</w:t>
      </w:r>
      <w:r>
        <w:rPr>
          <w:color w:val="030912"/>
          <w:spacing w:val="-2"/>
          <w:sz w:val="20"/>
        </w:rPr>
        <w:t xml:space="preserve"> </w:t>
      </w:r>
      <w:r>
        <w:rPr>
          <w:color w:val="030912"/>
          <w:sz w:val="20"/>
        </w:rPr>
        <w:t>the</w:t>
      </w:r>
      <w:r>
        <w:rPr>
          <w:color w:val="030912"/>
          <w:spacing w:val="-3"/>
          <w:sz w:val="20"/>
        </w:rPr>
        <w:t xml:space="preserve"> </w:t>
      </w:r>
      <w:r>
        <w:rPr>
          <w:color w:val="030912"/>
          <w:sz w:val="20"/>
        </w:rPr>
        <w:t>parent</w:t>
      </w:r>
      <w:r>
        <w:rPr>
          <w:color w:val="030912"/>
          <w:spacing w:val="-2"/>
          <w:sz w:val="20"/>
        </w:rPr>
        <w:t xml:space="preserve"> </w:t>
      </w:r>
      <w:r>
        <w:rPr>
          <w:color w:val="030912"/>
          <w:sz w:val="20"/>
        </w:rPr>
        <w:t>or</w:t>
      </w:r>
      <w:r>
        <w:rPr>
          <w:color w:val="030912"/>
          <w:spacing w:val="-1"/>
          <w:sz w:val="20"/>
        </w:rPr>
        <w:t xml:space="preserve"> </w:t>
      </w:r>
      <w:r>
        <w:rPr>
          <w:color w:val="030912"/>
          <w:sz w:val="20"/>
        </w:rPr>
        <w:t>eligible</w:t>
      </w:r>
      <w:r>
        <w:rPr>
          <w:color w:val="030912"/>
          <w:spacing w:val="-4"/>
          <w:sz w:val="20"/>
        </w:rPr>
        <w:t xml:space="preserve"> </w:t>
      </w:r>
      <w:r>
        <w:rPr>
          <w:color w:val="030912"/>
          <w:sz w:val="20"/>
        </w:rPr>
        <w:t>student</w:t>
      </w:r>
      <w:r>
        <w:rPr>
          <w:color w:val="030912"/>
          <w:spacing w:val="-2"/>
          <w:sz w:val="20"/>
        </w:rPr>
        <w:t xml:space="preserve"> </w:t>
      </w:r>
      <w:r>
        <w:rPr>
          <w:color w:val="030912"/>
          <w:sz w:val="20"/>
        </w:rPr>
        <w:t>in</w:t>
      </w:r>
      <w:r>
        <w:rPr>
          <w:color w:val="030912"/>
          <w:spacing w:val="-1"/>
          <w:sz w:val="20"/>
        </w:rPr>
        <w:t xml:space="preserve"> </w:t>
      </w:r>
      <w:r>
        <w:rPr>
          <w:color w:val="030912"/>
          <w:sz w:val="20"/>
        </w:rPr>
        <w:t>order</w:t>
      </w:r>
      <w:r>
        <w:rPr>
          <w:color w:val="030912"/>
          <w:spacing w:val="-2"/>
          <w:sz w:val="20"/>
        </w:rPr>
        <w:t xml:space="preserve"> </w:t>
      </w:r>
      <w:r>
        <w:rPr>
          <w:color w:val="030912"/>
          <w:sz w:val="20"/>
        </w:rPr>
        <w:t>to</w:t>
      </w:r>
      <w:r>
        <w:rPr>
          <w:color w:val="030912"/>
          <w:spacing w:val="-2"/>
          <w:sz w:val="20"/>
        </w:rPr>
        <w:t xml:space="preserve"> </w:t>
      </w:r>
      <w:r>
        <w:rPr>
          <w:color w:val="030912"/>
          <w:sz w:val="20"/>
        </w:rPr>
        <w:t>release any information from a student's education record. However, FERPA allows schools to disclose those records,</w:t>
      </w:r>
      <w:r>
        <w:rPr>
          <w:color w:val="030912"/>
          <w:spacing w:val="-2"/>
          <w:sz w:val="20"/>
        </w:rPr>
        <w:t xml:space="preserve"> </w:t>
      </w:r>
      <w:r>
        <w:rPr>
          <w:color w:val="030912"/>
          <w:sz w:val="20"/>
        </w:rPr>
        <w:t>without</w:t>
      </w:r>
      <w:r>
        <w:rPr>
          <w:color w:val="030912"/>
          <w:spacing w:val="-2"/>
          <w:sz w:val="20"/>
        </w:rPr>
        <w:t xml:space="preserve"> </w:t>
      </w:r>
      <w:r>
        <w:rPr>
          <w:color w:val="030912"/>
          <w:sz w:val="20"/>
        </w:rPr>
        <w:t>consent,</w:t>
      </w:r>
      <w:r>
        <w:rPr>
          <w:color w:val="030912"/>
          <w:spacing w:val="-2"/>
          <w:sz w:val="20"/>
        </w:rPr>
        <w:t xml:space="preserve"> </w:t>
      </w:r>
      <w:r>
        <w:rPr>
          <w:color w:val="030912"/>
          <w:sz w:val="20"/>
        </w:rPr>
        <w:t>to</w:t>
      </w:r>
      <w:r>
        <w:rPr>
          <w:color w:val="030912"/>
          <w:spacing w:val="-2"/>
          <w:sz w:val="20"/>
        </w:rPr>
        <w:t xml:space="preserve"> </w:t>
      </w:r>
      <w:r>
        <w:rPr>
          <w:color w:val="030912"/>
          <w:sz w:val="20"/>
        </w:rPr>
        <w:t>the</w:t>
      </w:r>
      <w:r>
        <w:rPr>
          <w:color w:val="030912"/>
          <w:spacing w:val="-3"/>
          <w:sz w:val="20"/>
        </w:rPr>
        <w:t xml:space="preserve"> </w:t>
      </w:r>
      <w:r>
        <w:rPr>
          <w:color w:val="030912"/>
          <w:sz w:val="20"/>
        </w:rPr>
        <w:t>following</w:t>
      </w:r>
      <w:r>
        <w:rPr>
          <w:color w:val="030912"/>
          <w:spacing w:val="-3"/>
          <w:sz w:val="20"/>
        </w:rPr>
        <w:t xml:space="preserve"> </w:t>
      </w:r>
      <w:r>
        <w:rPr>
          <w:color w:val="030912"/>
          <w:sz w:val="20"/>
        </w:rPr>
        <w:t>parties</w:t>
      </w:r>
      <w:r>
        <w:rPr>
          <w:color w:val="030912"/>
          <w:spacing w:val="-2"/>
          <w:sz w:val="20"/>
        </w:rPr>
        <w:t xml:space="preserve"> </w:t>
      </w:r>
      <w:r>
        <w:rPr>
          <w:color w:val="030912"/>
          <w:sz w:val="20"/>
        </w:rPr>
        <w:t>or</w:t>
      </w:r>
      <w:r>
        <w:rPr>
          <w:color w:val="030912"/>
          <w:spacing w:val="-2"/>
          <w:sz w:val="20"/>
        </w:rPr>
        <w:t xml:space="preserve"> </w:t>
      </w:r>
      <w:r>
        <w:rPr>
          <w:color w:val="030912"/>
          <w:sz w:val="20"/>
        </w:rPr>
        <w:t>under</w:t>
      </w:r>
      <w:r>
        <w:rPr>
          <w:color w:val="030912"/>
          <w:spacing w:val="-2"/>
          <w:sz w:val="20"/>
        </w:rPr>
        <w:t xml:space="preserve"> </w:t>
      </w:r>
      <w:r>
        <w:rPr>
          <w:color w:val="030912"/>
          <w:sz w:val="20"/>
        </w:rPr>
        <w:t>the</w:t>
      </w:r>
      <w:r>
        <w:rPr>
          <w:color w:val="030912"/>
          <w:spacing w:val="-3"/>
          <w:sz w:val="20"/>
        </w:rPr>
        <w:t xml:space="preserve"> </w:t>
      </w:r>
      <w:r>
        <w:rPr>
          <w:color w:val="030912"/>
          <w:sz w:val="20"/>
        </w:rPr>
        <w:t>following</w:t>
      </w:r>
      <w:r>
        <w:rPr>
          <w:color w:val="030912"/>
          <w:spacing w:val="-3"/>
          <w:sz w:val="20"/>
        </w:rPr>
        <w:t xml:space="preserve"> </w:t>
      </w:r>
      <w:r>
        <w:rPr>
          <w:color w:val="030912"/>
          <w:sz w:val="20"/>
        </w:rPr>
        <w:t>conditions</w:t>
      </w:r>
      <w:r>
        <w:rPr>
          <w:color w:val="030912"/>
          <w:spacing w:val="-2"/>
          <w:sz w:val="20"/>
        </w:rPr>
        <w:t xml:space="preserve"> </w:t>
      </w:r>
      <w:r>
        <w:rPr>
          <w:color w:val="030912"/>
          <w:sz w:val="20"/>
        </w:rPr>
        <w:t>(34</w:t>
      </w:r>
      <w:r>
        <w:rPr>
          <w:color w:val="030912"/>
          <w:spacing w:val="-3"/>
          <w:sz w:val="20"/>
        </w:rPr>
        <w:t xml:space="preserve"> </w:t>
      </w:r>
      <w:r>
        <w:rPr>
          <w:color w:val="030912"/>
          <w:sz w:val="20"/>
        </w:rPr>
        <w:t>CFR</w:t>
      </w:r>
      <w:r>
        <w:rPr>
          <w:color w:val="030912"/>
          <w:spacing w:val="-3"/>
          <w:sz w:val="20"/>
        </w:rPr>
        <w:t xml:space="preserve"> </w:t>
      </w:r>
      <w:r>
        <w:rPr>
          <w:color w:val="030912"/>
          <w:sz w:val="20"/>
        </w:rPr>
        <w:t>§</w:t>
      </w:r>
      <w:r>
        <w:rPr>
          <w:color w:val="030912"/>
          <w:spacing w:val="-3"/>
          <w:sz w:val="20"/>
        </w:rPr>
        <w:t xml:space="preserve"> </w:t>
      </w:r>
      <w:r>
        <w:rPr>
          <w:color w:val="030912"/>
          <w:sz w:val="20"/>
        </w:rPr>
        <w:t>99.31):</w:t>
      </w:r>
    </w:p>
    <w:p w14:paraId="28AE3960" w14:textId="77777777" w:rsidR="00D32C4C" w:rsidRDefault="006147D4">
      <w:pPr>
        <w:pStyle w:val="ListParagraph"/>
        <w:numPr>
          <w:ilvl w:val="1"/>
          <w:numId w:val="1"/>
        </w:numPr>
        <w:tabs>
          <w:tab w:val="left" w:pos="1540"/>
          <w:tab w:val="left" w:pos="1541"/>
        </w:tabs>
        <w:spacing w:before="151" w:line="248" w:lineRule="exact"/>
        <w:ind w:hanging="361"/>
        <w:rPr>
          <w:sz w:val="20"/>
        </w:rPr>
      </w:pPr>
      <w:r>
        <w:rPr>
          <w:color w:val="030912"/>
          <w:sz w:val="20"/>
        </w:rPr>
        <w:t>School officials with legitimate educational</w:t>
      </w:r>
      <w:r>
        <w:rPr>
          <w:color w:val="030912"/>
          <w:spacing w:val="-2"/>
          <w:sz w:val="20"/>
        </w:rPr>
        <w:t xml:space="preserve"> </w:t>
      </w:r>
      <w:r>
        <w:rPr>
          <w:color w:val="030912"/>
          <w:sz w:val="20"/>
        </w:rPr>
        <w:t>interest;</w:t>
      </w:r>
    </w:p>
    <w:p w14:paraId="3EDBE67A" w14:textId="77777777" w:rsidR="00D32C4C" w:rsidRDefault="006147D4">
      <w:pPr>
        <w:pStyle w:val="ListParagraph"/>
        <w:numPr>
          <w:ilvl w:val="1"/>
          <w:numId w:val="1"/>
        </w:numPr>
        <w:tabs>
          <w:tab w:val="left" w:pos="1540"/>
          <w:tab w:val="left" w:pos="1541"/>
        </w:tabs>
        <w:spacing w:line="245" w:lineRule="exact"/>
        <w:ind w:hanging="361"/>
        <w:rPr>
          <w:sz w:val="20"/>
        </w:rPr>
      </w:pPr>
      <w:r>
        <w:rPr>
          <w:color w:val="030912"/>
          <w:sz w:val="20"/>
        </w:rPr>
        <w:t>Other schools to which a student is</w:t>
      </w:r>
      <w:r>
        <w:rPr>
          <w:color w:val="030912"/>
          <w:spacing w:val="-1"/>
          <w:sz w:val="20"/>
        </w:rPr>
        <w:t xml:space="preserve"> </w:t>
      </w:r>
      <w:r>
        <w:rPr>
          <w:color w:val="030912"/>
          <w:sz w:val="20"/>
        </w:rPr>
        <w:t>transferring;</w:t>
      </w:r>
    </w:p>
    <w:p w14:paraId="15259E8E" w14:textId="77777777" w:rsidR="00D32C4C" w:rsidRDefault="006147D4">
      <w:pPr>
        <w:pStyle w:val="ListParagraph"/>
        <w:numPr>
          <w:ilvl w:val="1"/>
          <w:numId w:val="1"/>
        </w:numPr>
        <w:tabs>
          <w:tab w:val="left" w:pos="1540"/>
          <w:tab w:val="left" w:pos="1541"/>
        </w:tabs>
        <w:spacing w:line="244" w:lineRule="exact"/>
        <w:ind w:hanging="361"/>
        <w:rPr>
          <w:sz w:val="20"/>
        </w:rPr>
      </w:pPr>
      <w:r>
        <w:rPr>
          <w:color w:val="030912"/>
          <w:sz w:val="20"/>
        </w:rPr>
        <w:t>Specified officials for audit or evaluation purposes;</w:t>
      </w:r>
    </w:p>
    <w:p w14:paraId="5F4064F5" w14:textId="77777777" w:rsidR="00D32C4C" w:rsidRDefault="006147D4">
      <w:pPr>
        <w:pStyle w:val="ListParagraph"/>
        <w:numPr>
          <w:ilvl w:val="1"/>
          <w:numId w:val="1"/>
        </w:numPr>
        <w:tabs>
          <w:tab w:val="left" w:pos="1540"/>
          <w:tab w:val="left" w:pos="1541"/>
        </w:tabs>
        <w:spacing w:line="244" w:lineRule="exact"/>
        <w:ind w:hanging="361"/>
        <w:rPr>
          <w:sz w:val="20"/>
        </w:rPr>
      </w:pPr>
      <w:r>
        <w:rPr>
          <w:color w:val="030912"/>
          <w:sz w:val="20"/>
        </w:rPr>
        <w:t>Appropriate parties in connection with financial aid to a</w:t>
      </w:r>
      <w:r>
        <w:rPr>
          <w:color w:val="030912"/>
          <w:spacing w:val="-4"/>
          <w:sz w:val="20"/>
        </w:rPr>
        <w:t xml:space="preserve"> </w:t>
      </w:r>
      <w:r>
        <w:rPr>
          <w:color w:val="030912"/>
          <w:sz w:val="20"/>
        </w:rPr>
        <w:t>student;</w:t>
      </w:r>
    </w:p>
    <w:p w14:paraId="446DEDC2" w14:textId="77777777" w:rsidR="00D32C4C" w:rsidRDefault="006147D4">
      <w:pPr>
        <w:pStyle w:val="ListParagraph"/>
        <w:numPr>
          <w:ilvl w:val="1"/>
          <w:numId w:val="1"/>
        </w:numPr>
        <w:tabs>
          <w:tab w:val="left" w:pos="1540"/>
          <w:tab w:val="left" w:pos="1541"/>
        </w:tabs>
        <w:spacing w:line="245" w:lineRule="exact"/>
        <w:ind w:hanging="361"/>
        <w:rPr>
          <w:sz w:val="20"/>
        </w:rPr>
      </w:pPr>
      <w:r>
        <w:rPr>
          <w:color w:val="030912"/>
          <w:sz w:val="20"/>
        </w:rPr>
        <w:t>Organizations conducting certain studies for or on behalf of the</w:t>
      </w:r>
      <w:r>
        <w:rPr>
          <w:color w:val="030912"/>
          <w:spacing w:val="-11"/>
          <w:sz w:val="20"/>
        </w:rPr>
        <w:t xml:space="preserve"> </w:t>
      </w:r>
      <w:r>
        <w:rPr>
          <w:color w:val="030912"/>
          <w:sz w:val="20"/>
        </w:rPr>
        <w:t>school;</w:t>
      </w:r>
    </w:p>
    <w:p w14:paraId="484714C0" w14:textId="77777777" w:rsidR="00D32C4C" w:rsidRDefault="006147D4">
      <w:pPr>
        <w:pStyle w:val="ListParagraph"/>
        <w:numPr>
          <w:ilvl w:val="1"/>
          <w:numId w:val="1"/>
        </w:numPr>
        <w:tabs>
          <w:tab w:val="left" w:pos="1540"/>
          <w:tab w:val="left" w:pos="1541"/>
        </w:tabs>
        <w:spacing w:line="245" w:lineRule="exact"/>
        <w:ind w:hanging="361"/>
        <w:rPr>
          <w:sz w:val="20"/>
        </w:rPr>
      </w:pPr>
      <w:r>
        <w:rPr>
          <w:color w:val="030912"/>
          <w:sz w:val="20"/>
        </w:rPr>
        <w:t>Accrediting</w:t>
      </w:r>
      <w:r>
        <w:rPr>
          <w:color w:val="030912"/>
          <w:spacing w:val="-2"/>
          <w:sz w:val="20"/>
        </w:rPr>
        <w:t xml:space="preserve"> </w:t>
      </w:r>
      <w:r>
        <w:rPr>
          <w:color w:val="030912"/>
          <w:sz w:val="20"/>
        </w:rPr>
        <w:t>organizations;</w:t>
      </w:r>
    </w:p>
    <w:p w14:paraId="69F3EB74" w14:textId="77777777" w:rsidR="00D32C4C" w:rsidRDefault="006147D4">
      <w:pPr>
        <w:pStyle w:val="ListParagraph"/>
        <w:numPr>
          <w:ilvl w:val="1"/>
          <w:numId w:val="1"/>
        </w:numPr>
        <w:tabs>
          <w:tab w:val="left" w:pos="1540"/>
          <w:tab w:val="left" w:pos="1541"/>
        </w:tabs>
        <w:spacing w:line="244" w:lineRule="exact"/>
        <w:ind w:hanging="361"/>
        <w:rPr>
          <w:sz w:val="20"/>
        </w:rPr>
      </w:pPr>
      <w:r>
        <w:rPr>
          <w:color w:val="030912"/>
          <w:sz w:val="20"/>
        </w:rPr>
        <w:t>To comply with a judicial order or lawfully issued</w:t>
      </w:r>
      <w:r>
        <w:rPr>
          <w:color w:val="030912"/>
          <w:spacing w:val="-2"/>
          <w:sz w:val="20"/>
        </w:rPr>
        <w:t xml:space="preserve"> </w:t>
      </w:r>
      <w:r>
        <w:rPr>
          <w:color w:val="030912"/>
          <w:sz w:val="20"/>
        </w:rPr>
        <w:t>subpoena;</w:t>
      </w:r>
    </w:p>
    <w:p w14:paraId="4D9CBBF3" w14:textId="22B9FF03" w:rsidR="00D32C4C" w:rsidRDefault="006147D4">
      <w:pPr>
        <w:pStyle w:val="ListParagraph"/>
        <w:numPr>
          <w:ilvl w:val="1"/>
          <w:numId w:val="1"/>
        </w:numPr>
        <w:tabs>
          <w:tab w:val="left" w:pos="1540"/>
          <w:tab w:val="left" w:pos="1541"/>
        </w:tabs>
        <w:spacing w:line="242" w:lineRule="exact"/>
        <w:ind w:hanging="361"/>
        <w:rPr>
          <w:sz w:val="20"/>
        </w:rPr>
      </w:pPr>
      <w:r>
        <w:rPr>
          <w:color w:val="030912"/>
          <w:sz w:val="20"/>
        </w:rPr>
        <w:t>Appropriate officials in cases of health and safety emergencies;</w:t>
      </w:r>
      <w:r>
        <w:rPr>
          <w:color w:val="030912"/>
          <w:spacing w:val="-5"/>
          <w:sz w:val="20"/>
        </w:rPr>
        <w:t xml:space="preserve"> </w:t>
      </w:r>
    </w:p>
    <w:p w14:paraId="383B102F" w14:textId="77777777" w:rsidR="006147D4" w:rsidRPr="006312A9" w:rsidRDefault="006147D4">
      <w:pPr>
        <w:pStyle w:val="ListParagraph"/>
        <w:numPr>
          <w:ilvl w:val="1"/>
          <w:numId w:val="1"/>
        </w:numPr>
        <w:tabs>
          <w:tab w:val="left" w:pos="1540"/>
          <w:tab w:val="left" w:pos="1541"/>
        </w:tabs>
        <w:spacing w:line="246" w:lineRule="exact"/>
        <w:ind w:hanging="361"/>
        <w:rPr>
          <w:sz w:val="20"/>
        </w:rPr>
      </w:pPr>
      <w:r>
        <w:rPr>
          <w:color w:val="030912"/>
          <w:sz w:val="20"/>
        </w:rPr>
        <w:t>State and local authorities, within a juvenile justice system, pursuant to specific State</w:t>
      </w:r>
      <w:r>
        <w:rPr>
          <w:color w:val="030912"/>
          <w:spacing w:val="-21"/>
          <w:sz w:val="20"/>
        </w:rPr>
        <w:t xml:space="preserve"> </w:t>
      </w:r>
      <w:r>
        <w:rPr>
          <w:color w:val="030912"/>
          <w:sz w:val="20"/>
        </w:rPr>
        <w:t>law; and</w:t>
      </w:r>
    </w:p>
    <w:p w14:paraId="10E327F5" w14:textId="5478E9B5" w:rsidR="00D32C4C" w:rsidRDefault="006147D4">
      <w:pPr>
        <w:pStyle w:val="ListParagraph"/>
        <w:numPr>
          <w:ilvl w:val="1"/>
          <w:numId w:val="1"/>
        </w:numPr>
        <w:tabs>
          <w:tab w:val="left" w:pos="1540"/>
          <w:tab w:val="left" w:pos="1541"/>
        </w:tabs>
        <w:spacing w:line="246" w:lineRule="exact"/>
        <w:ind w:hanging="361"/>
        <w:rPr>
          <w:sz w:val="20"/>
        </w:rPr>
      </w:pPr>
      <w:r>
        <w:rPr>
          <w:color w:val="030912"/>
          <w:sz w:val="20"/>
        </w:rPr>
        <w:t>A person, organization, or company under contract with ACPS to perform a service or function for which ACPS would otherwise use its own employees (such as attorneys or auditors).</w:t>
      </w:r>
    </w:p>
    <w:p w14:paraId="75808AD6" w14:textId="77777777" w:rsidR="00D32C4C" w:rsidRDefault="00D32C4C">
      <w:pPr>
        <w:pStyle w:val="BodyText"/>
        <w:spacing w:before="6"/>
        <w:ind w:left="0" w:firstLine="0"/>
        <w:rPr>
          <w:sz w:val="22"/>
        </w:rPr>
      </w:pPr>
    </w:p>
    <w:p w14:paraId="0DCCC74D" w14:textId="77777777" w:rsidR="006147D4" w:rsidRDefault="006147D4">
      <w:pPr>
        <w:pStyle w:val="BodyText"/>
        <w:ind w:left="100" w:right="91" w:firstLine="0"/>
        <w:rPr>
          <w:color w:val="030912"/>
        </w:rPr>
      </w:pPr>
    </w:p>
    <w:p w14:paraId="5F5B33B8" w14:textId="04068AC6" w:rsidR="00D32C4C" w:rsidRDefault="006147D4">
      <w:pPr>
        <w:pStyle w:val="BodyText"/>
        <w:ind w:left="100" w:right="91" w:firstLine="0"/>
        <w:rPr>
          <w:color w:val="030912"/>
        </w:rPr>
      </w:pPr>
      <w:r>
        <w:rPr>
          <w:color w:val="030912"/>
        </w:rP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school.</w:t>
      </w:r>
    </w:p>
    <w:p w14:paraId="0A069172" w14:textId="77777777" w:rsidR="006147D4" w:rsidRDefault="006147D4">
      <w:pPr>
        <w:pStyle w:val="BodyText"/>
        <w:ind w:left="100" w:right="91" w:firstLine="0"/>
      </w:pPr>
    </w:p>
    <w:p w14:paraId="48DBFCF9" w14:textId="77777777" w:rsidR="00D32C4C" w:rsidRDefault="006147D4">
      <w:pPr>
        <w:pStyle w:val="BodyText"/>
        <w:spacing w:before="151"/>
        <w:ind w:left="100" w:right="136" w:firstLine="0"/>
      </w:pPr>
      <w:r>
        <w:rPr>
          <w:color w:val="030912"/>
        </w:rPr>
        <w:t xml:space="preserve">For additional information, you may call 1-800-USA-LEARN (1-800-872-5327) (voice). Individuals who use TDD may use the </w:t>
      </w:r>
      <w:hyperlink r:id="rId5" w:anchor="frs">
        <w:r>
          <w:rPr>
            <w:color w:val="7D5D8E"/>
            <w:u w:val="single" w:color="7D5D8E"/>
          </w:rPr>
          <w:t>Federal Relay Service</w:t>
        </w:r>
        <w:r>
          <w:rPr>
            <w:color w:val="030912"/>
          </w:rPr>
          <w:t>.</w:t>
        </w:r>
      </w:hyperlink>
    </w:p>
    <w:p w14:paraId="3A84C236" w14:textId="77777777" w:rsidR="00D32C4C" w:rsidRDefault="006147D4">
      <w:pPr>
        <w:pStyle w:val="BodyText"/>
        <w:spacing w:before="5" w:line="390" w:lineRule="atLeast"/>
        <w:ind w:left="100" w:right="6840" w:firstLine="0"/>
      </w:pPr>
      <w:r>
        <w:rPr>
          <w:color w:val="030912"/>
        </w:rPr>
        <w:t>Or at the following address: Family Policy Compliance Office</w:t>
      </w:r>
    </w:p>
    <w:p w14:paraId="121B5EB9" w14:textId="77777777" w:rsidR="00D32C4C" w:rsidRDefault="006147D4">
      <w:pPr>
        <w:pStyle w:val="BodyText"/>
        <w:spacing w:before="4"/>
        <w:ind w:left="100" w:right="6840" w:firstLine="0"/>
      </w:pPr>
      <w:r>
        <w:rPr>
          <w:color w:val="030912"/>
        </w:rPr>
        <w:t>U.S. Department of Education 400 Maryland Avenue, SW Washington, D.C. 20202-8520</w:t>
      </w:r>
    </w:p>
    <w:sectPr w:rsidR="00D32C4C">
      <w:type w:val="continuous"/>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D48C5"/>
    <w:multiLevelType w:val="hybridMultilevel"/>
    <w:tmpl w:val="F1A60020"/>
    <w:lvl w:ilvl="0" w:tplc="0CC417D8">
      <w:numFmt w:val="bullet"/>
      <w:lvlText w:val=""/>
      <w:lvlJc w:val="left"/>
      <w:pPr>
        <w:ind w:left="820" w:hanging="360"/>
      </w:pPr>
      <w:rPr>
        <w:rFonts w:ascii="Symbol" w:eastAsia="Symbol" w:hAnsi="Symbol" w:cs="Symbol" w:hint="default"/>
        <w:color w:val="030912"/>
        <w:w w:val="99"/>
        <w:sz w:val="20"/>
        <w:szCs w:val="20"/>
        <w:lang w:val="en-US" w:eastAsia="en-US" w:bidi="ar-SA"/>
      </w:rPr>
    </w:lvl>
    <w:lvl w:ilvl="1" w:tplc="228CB5E2">
      <w:numFmt w:val="bullet"/>
      <w:lvlText w:val="o"/>
      <w:lvlJc w:val="left"/>
      <w:pPr>
        <w:ind w:left="1540" w:hanging="360"/>
      </w:pPr>
      <w:rPr>
        <w:rFonts w:ascii="Courier New" w:eastAsia="Courier New" w:hAnsi="Courier New" w:cs="Courier New" w:hint="default"/>
        <w:color w:val="030912"/>
        <w:w w:val="99"/>
        <w:sz w:val="20"/>
        <w:szCs w:val="20"/>
        <w:lang w:val="en-US" w:eastAsia="en-US" w:bidi="ar-SA"/>
      </w:rPr>
    </w:lvl>
    <w:lvl w:ilvl="2" w:tplc="21A885FC">
      <w:numFmt w:val="bullet"/>
      <w:lvlText w:val="•"/>
      <w:lvlJc w:val="left"/>
      <w:pPr>
        <w:ind w:left="2428" w:hanging="360"/>
      </w:pPr>
      <w:rPr>
        <w:rFonts w:hint="default"/>
        <w:lang w:val="en-US" w:eastAsia="en-US" w:bidi="ar-SA"/>
      </w:rPr>
    </w:lvl>
    <w:lvl w:ilvl="3" w:tplc="A216B80A">
      <w:numFmt w:val="bullet"/>
      <w:lvlText w:val="•"/>
      <w:lvlJc w:val="left"/>
      <w:pPr>
        <w:ind w:left="3317" w:hanging="360"/>
      </w:pPr>
      <w:rPr>
        <w:rFonts w:hint="default"/>
        <w:lang w:val="en-US" w:eastAsia="en-US" w:bidi="ar-SA"/>
      </w:rPr>
    </w:lvl>
    <w:lvl w:ilvl="4" w:tplc="CD642D3A">
      <w:numFmt w:val="bullet"/>
      <w:lvlText w:val="•"/>
      <w:lvlJc w:val="left"/>
      <w:pPr>
        <w:ind w:left="4206" w:hanging="360"/>
      </w:pPr>
      <w:rPr>
        <w:rFonts w:hint="default"/>
        <w:lang w:val="en-US" w:eastAsia="en-US" w:bidi="ar-SA"/>
      </w:rPr>
    </w:lvl>
    <w:lvl w:ilvl="5" w:tplc="72A8302A">
      <w:numFmt w:val="bullet"/>
      <w:lvlText w:val="•"/>
      <w:lvlJc w:val="left"/>
      <w:pPr>
        <w:ind w:left="5095" w:hanging="360"/>
      </w:pPr>
      <w:rPr>
        <w:rFonts w:hint="default"/>
        <w:lang w:val="en-US" w:eastAsia="en-US" w:bidi="ar-SA"/>
      </w:rPr>
    </w:lvl>
    <w:lvl w:ilvl="6" w:tplc="47EA6E18">
      <w:numFmt w:val="bullet"/>
      <w:lvlText w:val="•"/>
      <w:lvlJc w:val="left"/>
      <w:pPr>
        <w:ind w:left="5984" w:hanging="360"/>
      </w:pPr>
      <w:rPr>
        <w:rFonts w:hint="default"/>
        <w:lang w:val="en-US" w:eastAsia="en-US" w:bidi="ar-SA"/>
      </w:rPr>
    </w:lvl>
    <w:lvl w:ilvl="7" w:tplc="1A78E262">
      <w:numFmt w:val="bullet"/>
      <w:lvlText w:val="•"/>
      <w:lvlJc w:val="left"/>
      <w:pPr>
        <w:ind w:left="6873" w:hanging="360"/>
      </w:pPr>
      <w:rPr>
        <w:rFonts w:hint="default"/>
        <w:lang w:val="en-US" w:eastAsia="en-US" w:bidi="ar-SA"/>
      </w:rPr>
    </w:lvl>
    <w:lvl w:ilvl="8" w:tplc="8542B5A4">
      <w:numFmt w:val="bullet"/>
      <w:lvlText w:val="•"/>
      <w:lvlJc w:val="left"/>
      <w:pPr>
        <w:ind w:left="776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4C"/>
    <w:rsid w:val="0035332A"/>
    <w:rsid w:val="006147D4"/>
    <w:rsid w:val="006312A9"/>
    <w:rsid w:val="008C4C50"/>
    <w:rsid w:val="00D3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FB54"/>
  <w15:docId w15:val="{7DC165CA-A0B8-4E81-8510-31FD4E38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1"/>
    </w:pPr>
    <w:rPr>
      <w:sz w:val="20"/>
      <w:szCs w:val="20"/>
    </w:rPr>
  </w:style>
  <w:style w:type="paragraph" w:styleId="Title">
    <w:name w:val="Title"/>
    <w:basedOn w:val="Normal"/>
    <w:uiPriority w:val="10"/>
    <w:qFormat/>
    <w:pPr>
      <w:spacing w:before="39"/>
      <w:ind w:left="3026" w:right="2902" w:firstLine="465"/>
    </w:pPr>
    <w:rPr>
      <w:b/>
      <w:bCs/>
      <w:sz w:val="20"/>
      <w:szCs w:val="20"/>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ed.gov/about/contacts/gen/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Metheny, Debra</dc:creator>
  <cp:lastModifiedBy>Erin Foutz</cp:lastModifiedBy>
  <cp:revision>2</cp:revision>
  <cp:lastPrinted>2021-02-03T15:28:00Z</cp:lastPrinted>
  <dcterms:created xsi:type="dcterms:W3CDTF">2021-08-12T13:21:00Z</dcterms:created>
  <dcterms:modified xsi:type="dcterms:W3CDTF">2021-08-12T13:21:00Z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Microsoft® Word 2019</vt:lpwstr>
  </property>
  <property fmtid="{D5CDD505-2E9C-101B-9397-08002B2CF9AE}" pid="4" name="LastSaved">
    <vt:filetime>2021-02-03T00:00:00Z</vt:filetime>
  </property>
</Properties>
</file>